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AE1A1F" w:rsidRPr="00EE6327">
        <w:trPr>
          <w:trHeight w:hRule="exact" w:val="3031"/>
        </w:trPr>
        <w:tc>
          <w:tcPr>
            <w:tcW w:w="10716" w:type="dxa"/>
          </w:tcPr>
          <w:p w:rsidR="00AE1A1F" w:rsidRPr="00EE6327" w:rsidRDefault="0032383C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EE6327"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A1F" w:rsidRPr="00EE6327">
        <w:trPr>
          <w:trHeight w:hRule="exact" w:val="8335"/>
        </w:trPr>
        <w:tc>
          <w:tcPr>
            <w:tcW w:w="10716" w:type="dxa"/>
            <w:vAlign w:val="center"/>
          </w:tcPr>
          <w:p w:rsidR="00AE1A1F" w:rsidRPr="00EE6327" w:rsidRDefault="00AE1A1F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EE6327">
              <w:rPr>
                <w:sz w:val="48"/>
                <w:szCs w:val="48"/>
              </w:rPr>
              <w:t>Приказ Минкультуры России от 08.10.2012 N 1077</w:t>
            </w:r>
            <w:r w:rsidRPr="00EE6327">
              <w:rPr>
                <w:sz w:val="48"/>
                <w:szCs w:val="48"/>
              </w:rPr>
              <w:br/>
              <w:t>(ред. от 02.02.2017)</w:t>
            </w:r>
            <w:r w:rsidRPr="00EE6327">
              <w:rPr>
                <w:sz w:val="48"/>
                <w:szCs w:val="48"/>
              </w:rPr>
              <w:br/>
              <w:t>"Об утверждении Порядка учета документов, входящих в состав библиотечного фонда"</w:t>
            </w:r>
            <w:r w:rsidRPr="00EE6327">
              <w:rPr>
                <w:sz w:val="48"/>
                <w:szCs w:val="48"/>
              </w:rPr>
              <w:br/>
              <w:t>(Зарегистрировано в Минюсте России 14.05.2013 N 28390)</w:t>
            </w:r>
          </w:p>
        </w:tc>
      </w:tr>
      <w:tr w:rsidR="00AE1A1F" w:rsidRPr="00EE6327">
        <w:trPr>
          <w:trHeight w:hRule="exact" w:val="3031"/>
        </w:trPr>
        <w:tc>
          <w:tcPr>
            <w:tcW w:w="10716" w:type="dxa"/>
            <w:vAlign w:val="center"/>
          </w:tcPr>
          <w:p w:rsidR="00AE1A1F" w:rsidRPr="00EE6327" w:rsidRDefault="00AE1A1F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EE6327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EE6327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EE6327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EE6327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EE6327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EE6327">
              <w:rPr>
                <w:sz w:val="28"/>
                <w:szCs w:val="28"/>
              </w:rPr>
              <w:br/>
            </w:r>
            <w:r w:rsidRPr="00EE6327">
              <w:rPr>
                <w:sz w:val="28"/>
                <w:szCs w:val="28"/>
              </w:rPr>
              <w:br/>
              <w:t>Дата сохранения: 27.10.2020</w:t>
            </w:r>
            <w:r w:rsidRPr="00EE6327">
              <w:rPr>
                <w:sz w:val="28"/>
                <w:szCs w:val="28"/>
              </w:rPr>
              <w:br/>
              <w:t> </w:t>
            </w:r>
          </w:p>
        </w:tc>
      </w:tr>
    </w:tbl>
    <w:p w:rsidR="00AE1A1F" w:rsidRPr="00EE6327" w:rsidRDefault="00AE1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E1A1F" w:rsidRPr="00EE6327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AE1A1F" w:rsidRPr="00EE6327" w:rsidRDefault="00AE1A1F">
      <w:pPr>
        <w:pStyle w:val="ConsPlusNormal"/>
      </w:pPr>
      <w:r w:rsidRPr="00EE6327">
        <w:rPr>
          <w:b/>
          <w:bCs/>
        </w:rPr>
        <w:lastRenderedPageBreak/>
        <w:t>Источник публикации</w:t>
      </w:r>
    </w:p>
    <w:p w:rsidR="00AE1A1F" w:rsidRPr="00EE6327" w:rsidRDefault="00AE1A1F">
      <w:pPr>
        <w:pStyle w:val="ConsPlusNormal"/>
        <w:jc w:val="both"/>
      </w:pPr>
      <w:r w:rsidRPr="00EE6327">
        <w:t>В данном виде документ опубликован не был.</w:t>
      </w:r>
    </w:p>
    <w:p w:rsidR="00AE1A1F" w:rsidRPr="00EE6327" w:rsidRDefault="00AE1A1F">
      <w:pPr>
        <w:pStyle w:val="ConsPlusNormal"/>
        <w:jc w:val="both"/>
      </w:pPr>
      <w:r w:rsidRPr="00EE6327">
        <w:t>Первоначальный текст документа опубликован в издании</w:t>
      </w:r>
    </w:p>
    <w:p w:rsidR="00AE1A1F" w:rsidRPr="00EE6327" w:rsidRDefault="00AE1A1F">
      <w:pPr>
        <w:pStyle w:val="ConsPlusNormal"/>
        <w:jc w:val="both"/>
      </w:pPr>
      <w:r w:rsidRPr="00EE6327">
        <w:t>"Российская газета", N 107, 22.05.2013.</w:t>
      </w:r>
    </w:p>
    <w:p w:rsidR="00AE1A1F" w:rsidRPr="00EE6327" w:rsidRDefault="00AE1A1F">
      <w:pPr>
        <w:pStyle w:val="ConsPlusNormal"/>
        <w:jc w:val="both"/>
      </w:pPr>
      <w:r w:rsidRPr="00EE6327">
        <w:t>Информацию о публикации документов, создающих данную редакцию, см. в справке к этим документам.</w:t>
      </w:r>
    </w:p>
    <w:p w:rsidR="00AE1A1F" w:rsidRPr="00EE6327" w:rsidRDefault="00AE1A1F">
      <w:pPr>
        <w:pStyle w:val="ConsPlusNormal"/>
        <w:spacing w:before="240"/>
      </w:pPr>
      <w:r w:rsidRPr="00EE6327">
        <w:rPr>
          <w:b/>
          <w:bCs/>
        </w:rPr>
        <w:t>Примечание к документу</w:t>
      </w:r>
    </w:p>
    <w:p w:rsidR="00AE1A1F" w:rsidRPr="00EE6327" w:rsidRDefault="00AE1A1F">
      <w:pPr>
        <w:pStyle w:val="ConsPlusNormal"/>
        <w:jc w:val="both"/>
      </w:pPr>
      <w:r w:rsidRPr="00EE6327">
        <w:t>Начало действия редакции - 14.03.2017.</w:t>
      </w:r>
    </w:p>
    <w:p w:rsidR="00AE1A1F" w:rsidRPr="00EE6327" w:rsidRDefault="00AE1A1F">
      <w:pPr>
        <w:pStyle w:val="ConsPlusNormal"/>
        <w:spacing w:before="240"/>
        <w:jc w:val="both"/>
      </w:pPr>
      <w:r w:rsidRPr="00EE6327">
        <w:t>Изменения, внесенные Приказом Минкультуры России от 02.02.2017 N 115, вступили в силу по истечении 10 дней после дня официального опубликования (опубликован на Официальном интернет-портале правовой информации http://www.pravo.gov.ru - 03.03.2017).</w:t>
      </w:r>
    </w:p>
    <w:p w:rsidR="00AE1A1F" w:rsidRPr="00EE6327" w:rsidRDefault="00AE1A1F">
      <w:pPr>
        <w:pStyle w:val="ConsPlusNormal"/>
        <w:spacing w:before="240"/>
      </w:pPr>
      <w:r w:rsidRPr="00EE6327">
        <w:rPr>
          <w:b/>
          <w:bCs/>
        </w:rPr>
        <w:t>Название документа</w:t>
      </w:r>
    </w:p>
    <w:p w:rsidR="00AE1A1F" w:rsidRPr="00EE6327" w:rsidRDefault="00AE1A1F">
      <w:pPr>
        <w:pStyle w:val="ConsPlusNormal"/>
        <w:jc w:val="both"/>
      </w:pPr>
      <w:r w:rsidRPr="00EE6327">
        <w:t>Приказ Минкультуры России от 08.10.2012 N 1077</w:t>
      </w:r>
    </w:p>
    <w:p w:rsidR="00AE1A1F" w:rsidRPr="00EE6327" w:rsidRDefault="00AE1A1F">
      <w:pPr>
        <w:pStyle w:val="ConsPlusNormal"/>
        <w:jc w:val="both"/>
      </w:pPr>
      <w:r w:rsidRPr="00EE6327">
        <w:t>(ред. от 02.02.2017)</w:t>
      </w:r>
    </w:p>
    <w:p w:rsidR="00AE1A1F" w:rsidRPr="00EE6327" w:rsidRDefault="00AE1A1F">
      <w:pPr>
        <w:pStyle w:val="ConsPlusNormal"/>
        <w:jc w:val="both"/>
      </w:pPr>
      <w:r w:rsidRPr="00EE6327">
        <w:t>"Об утверждении Порядка учета документов, входящих в состав библиотечного фонда"</w:t>
      </w:r>
    </w:p>
    <w:p w:rsidR="00AE1A1F" w:rsidRPr="00EE6327" w:rsidRDefault="00AE1A1F">
      <w:pPr>
        <w:pStyle w:val="ConsPlusNormal"/>
        <w:jc w:val="both"/>
      </w:pPr>
      <w:r w:rsidRPr="00EE6327">
        <w:t>(Зарегистрировано в Минюсте России 14.05.2013 N 28390)</w:t>
      </w:r>
    </w:p>
    <w:p w:rsidR="00AE1A1F" w:rsidRPr="00EE6327" w:rsidRDefault="00AE1A1F">
      <w:pPr>
        <w:pStyle w:val="ConsPlusNormal"/>
        <w:jc w:val="both"/>
        <w:sectPr w:rsidR="00AE1A1F" w:rsidRPr="00EE6327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E1A1F" w:rsidRPr="00EE6327" w:rsidRDefault="00AE1A1F">
      <w:pPr>
        <w:pStyle w:val="ConsPlusNormal"/>
        <w:jc w:val="both"/>
        <w:outlineLvl w:val="0"/>
      </w:pPr>
    </w:p>
    <w:p w:rsidR="00AE1A1F" w:rsidRPr="00EE6327" w:rsidRDefault="00AE1A1F">
      <w:pPr>
        <w:pStyle w:val="ConsPlusNormal"/>
        <w:outlineLvl w:val="0"/>
        <w:rPr>
          <w:b/>
          <w:sz w:val="32"/>
          <w:szCs w:val="32"/>
        </w:rPr>
      </w:pPr>
      <w:r w:rsidRPr="00EE6327">
        <w:rPr>
          <w:b/>
          <w:sz w:val="32"/>
          <w:szCs w:val="32"/>
        </w:rPr>
        <w:t>Зарегистрировано в Минюсте России 14 мая 2013 г. N 28390</w:t>
      </w:r>
    </w:p>
    <w:p w:rsidR="00AE1A1F" w:rsidRPr="00EE6327" w:rsidRDefault="00AE1A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Title"/>
        <w:jc w:val="center"/>
      </w:pPr>
      <w:r w:rsidRPr="00EE6327">
        <w:t>МИНИСТЕРСТВО КУЛЬТУРЫ РОССИЙСКОЙ ФЕДЕРАЦИИ</w:t>
      </w:r>
    </w:p>
    <w:p w:rsidR="00AE1A1F" w:rsidRPr="00EE6327" w:rsidRDefault="00AE1A1F">
      <w:pPr>
        <w:pStyle w:val="ConsPlusTitle"/>
        <w:jc w:val="center"/>
      </w:pPr>
    </w:p>
    <w:p w:rsidR="00AE1A1F" w:rsidRPr="00EE6327" w:rsidRDefault="00AE1A1F">
      <w:pPr>
        <w:pStyle w:val="ConsPlusTitle"/>
        <w:jc w:val="center"/>
      </w:pPr>
      <w:r w:rsidRPr="00EE6327">
        <w:t>ПРИКАЗ</w:t>
      </w:r>
    </w:p>
    <w:p w:rsidR="00AE1A1F" w:rsidRPr="00EE6327" w:rsidRDefault="00AE1A1F">
      <w:pPr>
        <w:pStyle w:val="ConsPlusTitle"/>
        <w:jc w:val="center"/>
      </w:pPr>
      <w:r w:rsidRPr="00EE6327">
        <w:t>от 8 октября 2012 г. N 1077</w:t>
      </w:r>
    </w:p>
    <w:p w:rsidR="00AE1A1F" w:rsidRPr="00EE6327" w:rsidRDefault="00AE1A1F">
      <w:pPr>
        <w:pStyle w:val="ConsPlusTitle"/>
        <w:jc w:val="center"/>
      </w:pPr>
    </w:p>
    <w:p w:rsidR="00AE1A1F" w:rsidRPr="00EE6327" w:rsidRDefault="00AE1A1F">
      <w:pPr>
        <w:pStyle w:val="ConsPlusTitle"/>
        <w:jc w:val="center"/>
      </w:pPr>
      <w:r w:rsidRPr="00EE6327">
        <w:t>ОБ УТВЕРЖДЕНИИ ПОРЯДКА</w:t>
      </w:r>
    </w:p>
    <w:p w:rsidR="00AE1A1F" w:rsidRPr="00EE6327" w:rsidRDefault="00AE1A1F">
      <w:pPr>
        <w:pStyle w:val="ConsPlusTitle"/>
        <w:jc w:val="center"/>
      </w:pPr>
      <w:r w:rsidRPr="00EE6327">
        <w:t>УЧЕТА ДОКУМЕНТОВ, ВХОДЯЩИХ В СОСТАВ БИБЛИОТЕЧНОГО ФОНДА</w:t>
      </w:r>
    </w:p>
    <w:p w:rsidR="00AE1A1F" w:rsidRPr="00EE6327" w:rsidRDefault="00AE1A1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E1A1F" w:rsidRPr="00EE632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E1A1F" w:rsidRPr="00EE6327" w:rsidRDefault="00AE1A1F">
            <w:pPr>
              <w:pStyle w:val="ConsPlusNormal"/>
              <w:jc w:val="center"/>
              <w:rPr>
                <w:color w:val="392C69"/>
              </w:rPr>
            </w:pPr>
            <w:r w:rsidRPr="00EE6327">
              <w:rPr>
                <w:color w:val="392C69"/>
              </w:rPr>
              <w:t>Список изменяющих документов</w:t>
            </w:r>
          </w:p>
          <w:p w:rsidR="00AE1A1F" w:rsidRPr="00EE6327" w:rsidRDefault="00AE1A1F">
            <w:pPr>
              <w:pStyle w:val="ConsPlusNormal"/>
              <w:jc w:val="center"/>
              <w:rPr>
                <w:color w:val="392C69"/>
              </w:rPr>
            </w:pPr>
            <w:r w:rsidRPr="00EE6327">
              <w:rPr>
                <w:color w:val="392C69"/>
              </w:rPr>
              <w:t>(в ред. Приказа Минкультуры России от 02.02.2017 N 115)</w:t>
            </w:r>
          </w:p>
        </w:tc>
      </w:tr>
    </w:tbl>
    <w:p w:rsidR="00AE1A1F" w:rsidRPr="00EE6327" w:rsidRDefault="00AE1A1F">
      <w:pPr>
        <w:pStyle w:val="ConsPlusNormal"/>
        <w:jc w:val="center"/>
      </w:pPr>
    </w:p>
    <w:p w:rsidR="00AE1A1F" w:rsidRPr="00EE6327" w:rsidRDefault="00AE1A1F">
      <w:pPr>
        <w:pStyle w:val="ConsPlusNormal"/>
        <w:ind w:firstLine="540"/>
        <w:jc w:val="both"/>
      </w:pPr>
      <w:r w:rsidRPr="00EE6327">
        <w:t>Во исполнение пункта 6 статьи 12 Федерального закона от 29.12.1994 N 78-ФЗ "О библиотечном деле" (Собрание законодательства Российской Федерации, 1995, N 1, ст. 2; 2004, N 35, ст. 3607; 2007, N 27, ст. 3213; 2008, N 30 (ч. II), 3616, N 44, ст. 4989; 2009, N 23, 2774, N 52 (I ч.), ст. 6446) приказываю: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 xml:space="preserve">1. Утвердить </w:t>
      </w:r>
      <w:hyperlink w:anchor="Par30" w:tooltip="ПОРЯДОК" w:history="1">
        <w:r w:rsidRPr="00EE6327">
          <w:rPr>
            <w:color w:val="0000FF"/>
          </w:rPr>
          <w:t>Порядок</w:t>
        </w:r>
      </w:hyperlink>
      <w:r w:rsidRPr="00EE6327">
        <w:t xml:space="preserve"> учета документов, входящих в состав библиотечного фонда (приложение).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2. Контроль за исполнением настоящего приказа возложить на статс-секретаря - заместителя Министра культуры Российской Федерации Г.П. Ивлиева.</w:t>
      </w: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jc w:val="right"/>
      </w:pPr>
      <w:r w:rsidRPr="00EE6327">
        <w:t>Министр</w:t>
      </w:r>
    </w:p>
    <w:p w:rsidR="00AE1A1F" w:rsidRPr="00EE6327" w:rsidRDefault="00AE1A1F">
      <w:pPr>
        <w:pStyle w:val="ConsPlusNormal"/>
        <w:jc w:val="right"/>
      </w:pPr>
      <w:r w:rsidRPr="00EE6327">
        <w:t>В.Р.МЕДИНСКИЙ</w:t>
      </w: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jc w:val="right"/>
        <w:outlineLvl w:val="0"/>
      </w:pPr>
      <w:r w:rsidRPr="00EE6327">
        <w:t>Приложение</w:t>
      </w:r>
    </w:p>
    <w:p w:rsidR="00AE1A1F" w:rsidRPr="00EE6327" w:rsidRDefault="00AE1A1F">
      <w:pPr>
        <w:pStyle w:val="ConsPlusNormal"/>
        <w:jc w:val="right"/>
      </w:pPr>
      <w:r w:rsidRPr="00EE6327">
        <w:t>к приказу Министерства культуры</w:t>
      </w:r>
    </w:p>
    <w:p w:rsidR="00AE1A1F" w:rsidRPr="00EE6327" w:rsidRDefault="00AE1A1F">
      <w:pPr>
        <w:pStyle w:val="ConsPlusNormal"/>
        <w:jc w:val="right"/>
      </w:pPr>
      <w:r w:rsidRPr="00EE6327">
        <w:t>Российской Федерации</w:t>
      </w:r>
    </w:p>
    <w:p w:rsidR="00AE1A1F" w:rsidRPr="00EE6327" w:rsidRDefault="00AE1A1F">
      <w:pPr>
        <w:pStyle w:val="ConsPlusNormal"/>
        <w:jc w:val="right"/>
      </w:pPr>
      <w:r w:rsidRPr="00EE6327">
        <w:t>от 08.10.2012 N 1077</w:t>
      </w:r>
    </w:p>
    <w:p w:rsidR="00AE1A1F" w:rsidRPr="00EE6327" w:rsidRDefault="00AE1A1F">
      <w:pPr>
        <w:pStyle w:val="ConsPlusNormal"/>
        <w:jc w:val="right"/>
      </w:pPr>
    </w:p>
    <w:p w:rsidR="00AE1A1F" w:rsidRPr="00EE6327" w:rsidRDefault="00AE1A1F">
      <w:pPr>
        <w:pStyle w:val="ConsPlusTitle"/>
        <w:jc w:val="center"/>
      </w:pPr>
      <w:bookmarkStart w:id="1" w:name="Par30"/>
      <w:bookmarkEnd w:id="1"/>
      <w:r w:rsidRPr="00EE6327">
        <w:t>ПОРЯДОК</w:t>
      </w:r>
    </w:p>
    <w:p w:rsidR="00AE1A1F" w:rsidRPr="00EE6327" w:rsidRDefault="00AE1A1F">
      <w:pPr>
        <w:pStyle w:val="ConsPlusTitle"/>
        <w:jc w:val="center"/>
      </w:pPr>
      <w:r w:rsidRPr="00EE6327">
        <w:t>УЧЕТА ДОКУМЕНТОВ, ВХОДЯЩИХ В СОСТАВ БИБЛИОТЕЧНОГО ФОНДА</w:t>
      </w:r>
    </w:p>
    <w:p w:rsidR="00AE1A1F" w:rsidRPr="00EE6327" w:rsidRDefault="00AE1A1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E1A1F" w:rsidRPr="00EE632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E1A1F" w:rsidRPr="00EE6327" w:rsidRDefault="00AE1A1F">
            <w:pPr>
              <w:pStyle w:val="ConsPlusNormal"/>
              <w:jc w:val="center"/>
              <w:rPr>
                <w:color w:val="392C69"/>
              </w:rPr>
            </w:pPr>
            <w:r w:rsidRPr="00EE6327">
              <w:rPr>
                <w:color w:val="392C69"/>
              </w:rPr>
              <w:t>Список изменяющих документов</w:t>
            </w:r>
          </w:p>
          <w:p w:rsidR="00AE1A1F" w:rsidRPr="00EE6327" w:rsidRDefault="00AE1A1F">
            <w:pPr>
              <w:pStyle w:val="ConsPlusNormal"/>
              <w:jc w:val="center"/>
              <w:rPr>
                <w:color w:val="392C69"/>
              </w:rPr>
            </w:pPr>
            <w:r w:rsidRPr="00EE6327">
              <w:rPr>
                <w:color w:val="392C69"/>
              </w:rPr>
              <w:t>(в ред. Приказа Минкультуры России от 02.02.2017 N 115)</w:t>
            </w:r>
          </w:p>
        </w:tc>
      </w:tr>
    </w:tbl>
    <w:p w:rsidR="00AE1A1F" w:rsidRPr="00EE6327" w:rsidRDefault="00AE1A1F">
      <w:pPr>
        <w:pStyle w:val="ConsPlusNormal"/>
        <w:jc w:val="center"/>
      </w:pPr>
    </w:p>
    <w:p w:rsidR="00AE1A1F" w:rsidRPr="00EE6327" w:rsidRDefault="00AE1A1F">
      <w:pPr>
        <w:pStyle w:val="ConsPlusNormal"/>
        <w:jc w:val="center"/>
        <w:outlineLvl w:val="1"/>
      </w:pPr>
      <w:r w:rsidRPr="00EE6327">
        <w:t>I. Общие положения</w:t>
      </w:r>
    </w:p>
    <w:p w:rsidR="00AE1A1F" w:rsidRPr="00EE6327" w:rsidRDefault="00AE1A1F">
      <w:pPr>
        <w:pStyle w:val="ConsPlusNormal"/>
        <w:jc w:val="center"/>
      </w:pPr>
    </w:p>
    <w:p w:rsidR="00AE1A1F" w:rsidRPr="00EE6327" w:rsidRDefault="00AE1A1F">
      <w:pPr>
        <w:pStyle w:val="ConsPlusNormal"/>
        <w:ind w:firstLine="540"/>
        <w:jc w:val="both"/>
      </w:pPr>
      <w:r w:rsidRPr="00EE6327">
        <w:t>1.1. Учет документов библиотечного фонда является основой отчетности и планирования деятельности библиотеки, способствует обеспечению его сохранности.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1.2. Учет включает регистрацию поступления документов в библиотечный фонд, их выбытия из фонда, итоговые данные о величине (объеме) всего библиотечного фонда и его подразделов, стоимость фонда.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1.3. Основные требования, предъявляемые к учету библиотечного фонда: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полнота и достоверность учетной информации;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оперативность;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документированное оформление каждого поступления в фонд и каждого выбытия из фонда;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совместимость приемов и форм учета, их надежность при параллельном использовании традиционной и автоматизированной технологий учета;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соответствие номенклатуры показателей учета фонда аналогичным показателям государственной библиотечной статистики.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1.4. Учету подлежат все документы (постоянного, длительного, временного хранения), поступающие в фонд библиотеки и выбывающие из фонда библиотеки, независимо от вида носителя.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1.5. Учет документов ведется в регистрах индивидуального и суммарного учета в традиционном и (или) электронном виде.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 xml:space="preserve">1.5.1. Регистрами индивидуального учета документов являются: </w:t>
      </w:r>
      <w:r w:rsidRPr="00EE6327">
        <w:rPr>
          <w:b/>
          <w:u w:val="single"/>
        </w:rPr>
        <w:t>регистрационная книга</w:t>
      </w:r>
      <w:r w:rsidRPr="00EE6327">
        <w:t xml:space="preserve">, карточка регистрации на определенный вид документа для газет, журналов, других видов документов. Допускается также регистрами индивидуального учета считать топографическую опись (каталог), </w:t>
      </w:r>
      <w:r w:rsidRPr="00EE6327">
        <w:rPr>
          <w:b/>
          <w:u w:val="single"/>
        </w:rPr>
        <w:t>учетный каталог,</w:t>
      </w:r>
      <w:r w:rsidRPr="00EE6327">
        <w:t xml:space="preserve"> учетный файл с выходными формами, формируемыми в порядке инвентарных или иных идентификационных номеров документов.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Регистры индивидуального учета документов библиотечного фонда содержат реквизиты, идентифицирующие каждый документ с указанием сведений о поступлении документа и о его выбытии из библиотечного фонда.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bookmarkStart w:id="2" w:name="Par49"/>
      <w:bookmarkEnd w:id="2"/>
      <w:r w:rsidRPr="00EE6327">
        <w:t>1.5.2. Регистрами суммарного учета документов являются: книга суммарного учета библиотечного фонда, листы суммарного учета библиотечного фонда, журнал. Допускаются различные модификации книги суммарного учета. Независимо от вида учетного документа регистры суммарного учета содержат три взаимосвязанные части: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"Поступление документов в библиотечный фонд",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"Выбытие документов из библиотечного фонда",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"Итоги движения библиотечного фонда: итоговые данные на конец отчетного периода".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lastRenderedPageBreak/>
        <w:t>Обобщенные данные отражаются в каждой части регистра суммарного учета. В электронной системе учета эти части интегрируются в единый учетный файл.</w:t>
      </w:r>
    </w:p>
    <w:p w:rsidR="00AE1A1F" w:rsidRPr="00EE6327" w:rsidRDefault="00AE1A1F">
      <w:pPr>
        <w:pStyle w:val="ConsPlusNormal"/>
        <w:spacing w:before="240"/>
        <w:ind w:firstLine="540"/>
        <w:jc w:val="both"/>
        <w:rPr>
          <w:b/>
        </w:rPr>
      </w:pPr>
      <w:r w:rsidRPr="00EE6327">
        <w:t>1.6. Суммарный и индивидуальный учет фонда ведется структурными подразделениями библиотеки, в ведении которых находится комплектование фонда, а</w:t>
      </w:r>
      <w:r w:rsidRPr="00EE6327">
        <w:rPr>
          <w:b/>
        </w:rPr>
        <w:t xml:space="preserve"> также подразделениями, обеспечивающими хранение и использование закрепленных за ними частей общего фонда библиотеки.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1.7. Статистическая информация о формировании библиотечного фонда по итогам года представляется в Главный информационно-вычислительный центр Минкультуры России.</w:t>
      </w:r>
    </w:p>
    <w:p w:rsidR="00AE1A1F" w:rsidRPr="00EE6327" w:rsidRDefault="00AE1A1F">
      <w:pPr>
        <w:pStyle w:val="ConsPlusNormal"/>
        <w:ind w:firstLine="540"/>
        <w:jc w:val="both"/>
      </w:pPr>
    </w:p>
    <w:p w:rsidR="004B64AE" w:rsidRPr="00EE6327" w:rsidRDefault="004B64AE">
      <w:pPr>
        <w:pStyle w:val="ConsPlusNormal"/>
        <w:jc w:val="center"/>
        <w:outlineLvl w:val="1"/>
      </w:pPr>
    </w:p>
    <w:p w:rsidR="00AE1A1F" w:rsidRPr="00EE6327" w:rsidRDefault="00AE1A1F">
      <w:pPr>
        <w:pStyle w:val="ConsPlusNormal"/>
        <w:jc w:val="center"/>
        <w:outlineLvl w:val="1"/>
      </w:pPr>
      <w:r w:rsidRPr="00EE6327">
        <w:t>II. Единицы учета библиотечного фонда</w:t>
      </w: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ind w:firstLine="540"/>
        <w:jc w:val="both"/>
      </w:pPr>
      <w:r w:rsidRPr="00EE6327">
        <w:t>2.1. Величина (объем) и движение фонда измеряются в унифицированных единицах учета.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Основными единицами учета документов библиотечного фонда являются экземпляр и название, для газет - годовой комплект и название.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Дополнительными единицами учета фонда являются годовой комплект, метрополка, подшивка (переплетная единица); для электронных документов - единица памяти данных.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2.2. Общая величина библиотечного фонда в целом и его подразделов, в том числе сетевых локальных документов и сетевых удаленных документов, учитывается в экземплярах, новые поступления - в экземплярах и названиях. Число годовых комплектов газет приравнивается к числу экземпляров.</w:t>
      </w: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jc w:val="center"/>
        <w:outlineLvl w:val="1"/>
      </w:pPr>
      <w:r w:rsidRPr="00EE6327">
        <w:t>III. Учет документов по видам и категориям</w:t>
      </w: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ind w:firstLine="540"/>
        <w:jc w:val="both"/>
        <w:outlineLvl w:val="2"/>
      </w:pPr>
      <w:r w:rsidRPr="00EE6327">
        <w:t>3.1. Печатные издания и неопубликованные документы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 печатными изданиям относятся тиражированные издания, полученные печатанием или тиснением, полиграфически самостоятельно оформленные: книги, брошюры, журналы, продолжающиеся издания, листовые издания, газеты, изоиздания, нотные издания, картографические издания, нормативно-технические и технические документы, авторефераты диссертаций.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 неопубликованным документам относятся рукописные документы (рукописные книги и архивные документы), а также документы, изготовленные в единичных экземплярах, являющиеся объектами интеллектуальной собственности (депонированные научные работы, диссертации, препринты, отчеты о научно-исследовательских работах, переводы, описания алгоритмов и программ ЭВМ, проектно-конструкторская документация), тактильные рукодельные издания для слепых и слабовидящих. Рукописные документы, входящие в библиотечные фонды, являются составной частью Архивного фонда Российской Федерации и учитываются в соответствии с нормативными и правовыми актами по учету архивных документов и настоящим Порядком.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3.1.1. Книги и брошюры учитываются в экземплярах и названиях.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lastRenderedPageBreak/>
        <w:t>Как отдельный экземпляр и как отдельное название учитываются: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каждое отдельное издание (книга, брошюра);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каждое входящее в конволют издание;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каждый отдельный том (выпуск, часть) многотомного издания, имеющий индивидуальное заглавие;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каждая из брошюр, выпущенных в объединяющей их издательской папке, обложке, манжетке;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каждая книга или брошюра, входящая в книжную серию (нумерованную или ненумерованную);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отдельно изданные приложения к книгам и брошюрам, имеющие индивидуальное заглавие и самостоятельное значение.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3.1.2. Документы, выполненные рельефно-точечным шрифтом (шрифтом Брайля), учитываются в экземплярах и названиях.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Экземпляром для данного вида изданий является каждая из книг комплекта, объединенных общим названием.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Как одно название учитывается комплект издания, независимо от числа входящих в него книг.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3.1.3. Журналы и продолжающиеся издания учитываются в экземплярах и названиях.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Экземпляром считается номер, том, выпуск, изданные по отдельности, а также комплект номеров, томов, выпусков, переплетенных в один блок издательством.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Как одно название учитывается комплект номеров, томов, выпусков, образующих отдельную единицу с отличительным заглавием. При изменении заглавия новой учетной единицей считается издание, если изменение внесено в первые пять слов заглавия.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Периодические приложения к журналам, выходящие самостоятельно, имеющие индивидуальное заглавие и собственную нумерацию, учитываются как отдельные экземпляры и отдельные названия.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Каждая серия продолжающегося издания, имеющая индивидуальное заглавие и собственную нумерацию выпусков, учитывается как отдельное название.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Каждый самостоятельный том (выпуск) продолжающегося издания учитывается как отдельное название.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3.1.4. Газеты учитываются в годовых комплектах и названиях.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 xml:space="preserve">Как одно название учитывается комплект газет, образующих отдельную единицу с </w:t>
      </w:r>
      <w:r w:rsidRPr="00EE6327">
        <w:lastRenderedPageBreak/>
        <w:t>отличительным заглавием. При изменении заглавия новой учетной единицей считается издание, если изменение внесено в первые пять слов заглавия.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Однодневные (разовые) газеты учитываются в экземплярах (номер, выпуск) и названиях.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Отдельно изданные периодические приложения к газетам, имеющие индивидуальное заглавие и собственную нумерацию, учитываются самостоятельно.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3.1.5. Изоиздания (альбомы, комплекты, отдельные листовые издания) и рельефно-графические пособия для слепых и слабовидящих учитываются в экземплярах и названиях.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Как отдельный экземпляр и отдельное название учитывается каждый лист (выпуск) серии изоизданий, не объединенные издательской папкой (обложкой, манжеткой).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Листовые издания, объединенные издательской папкой (обложкой, манжеткой, оберткой), учитываются как один экземпляр и одно название.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3.1.6. Нотные издания учитываются в экземплярах и названиях.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Как отдельные экземпляры и отдельные названия учитываются: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самостоятельные нотные издания, объединенные в одном переплете (конволюте);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отдельные партии (голоса) и партитура (клавир), изданные раздельно.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Как один экземпляр и одно название учитываются: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отдельные партии (голоса), объединенные с партитурой (клавиром) в одном издании, а также партии, объединенные издательской папкой (обложкой).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3.1.7. Картографические издания учитываются в экземплярах и названиях.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Как отдельный экземпляр и отдельное название учитываются: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атласы, состоящие из отдельных нумерованных или датированных выпусков;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каждый выпуск серийного издания карты или атласа.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Как один экземпляр и одно название учитывается карта, изданная на нескольких листах (подлежащих склейке), объединенных общим заглавием.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Многотомные (многолистовые) картографические издания, объединенные общим заглавием, учитываются по количеству томов и одному названию.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Отдельно изданные, но не имеющие самостоятельного значения картографические приложения к различным изданиям (книгам, брошюрам, журналам) учитываются единым комплектом с основным изданием.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lastRenderedPageBreak/>
        <w:t>3.1.8. Нормативно-технические и технические документы (патентные документы, типовые проекты и чертежи, каталоги промышленного оборудования и изделий, нормативные документы по стандартизации, технические условия, руководящие документы и правила) учитываются в экземплярах и названиях.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Как один экземпляр и одно название учитываются стандарты и каталоги промышленного оборудования и изделий, выпущенные в объединяющей их издательской папке (обложке) при наличии на папке общей цены, содержания всего издания, единых выходных данных.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Как отдельный экземпляр и отдельное название учитываются стандарты и каталоги промышленного оборудования и изделий, другие специальные виды документов, выпущенные в виде отдельных листов, если каждый из них имеет свои выходные данные, цену, тираж, даже если они объединены одной издательской папкой (обложкой).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3.1.9. Неопубликованные документы учитываются в экземплярах и названиях.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Как один экземпляр и одно название учитываются: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депонированная научная работа (комплект, состоящий из двух экземпляров работы) и сопроводительные документы;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неопубликованные документы, сброшюрованные или содержащиеся в отдельной папке.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Для конструкторской документации единицей учета является чертеж или полный комплект конструкторских документов, относящихся к одному изделию (объекту).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3.1.10. Обновляемое печатное издание учитывается как отдельное название и отдельный экземпляр при первичном поступлении в библиотеку. Последующие поступления вкладных листов, предназначенных для дополнения или замены соответствующих листов в издании, отдельному учету не подлежат.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3.1.11. Факсимильное издание учитывается как оригинал.</w:t>
      </w: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ind w:firstLine="540"/>
        <w:jc w:val="both"/>
        <w:outlineLvl w:val="2"/>
        <w:rPr>
          <w:b/>
        </w:rPr>
      </w:pPr>
      <w:r w:rsidRPr="00EE6327">
        <w:rPr>
          <w:b/>
        </w:rPr>
        <w:t>3.2. Аудиовизуальные документы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 аудиовизуальным документам относятся фонодокументы, видеодокументы, фотодокументы, кинодокументы.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3.2.1. Единицами учета фонда аудиовизуальных документов являются экземпляр и название.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Как отдельный экземпляр учитываются: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диск - для грампластинок;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катушка, кассета или бобина - для магнитных фонограмм;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кассета - для видеодокументов;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кадр - для фотодокументов (диапозитивов, слайдов);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lastRenderedPageBreak/>
        <w:t>бобина - для кинофильмов.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Как одно название учитываются: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отдельно выпущенная грампластинка, кассета либо комплект (альбом) грампластинок, кассет, объединенных общим названием;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магнитная фонограмма на одной катушке (кассете), магнитная фонограмма на нескольких катушках (кассетах), объединенных общим названием;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отдельно изданный фонодокумент или комплект фонодокументов, объединенных общим заглавием;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кинофильм, диафильм независимо от числа составляющих частей или кадров (для комплекта диапозитивов).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3.2.2. Аудиовизуальные документы, являющиеся приложением к различным изданиям и выполняющие самостоятельные функции, а также используемые в работе отдельно от основного издания, могут учитываться как отдельные экземпляры.</w:t>
      </w: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ind w:firstLine="540"/>
        <w:jc w:val="both"/>
        <w:outlineLvl w:val="2"/>
      </w:pPr>
      <w:r w:rsidRPr="00EE6327">
        <w:t>3.3. Документы на микроформах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 документам на микроформах относятся микрофильмы и микрофиши.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3.3.1. Единицами учета документов на микроформах являются экземпляр и название.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Экземпляром для документов на микроформах являются: рулон - для микрофильмов; фиша - для микрофиш.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Как одно название учитывается комплект микрофильмов или микрофиш, объединенных общим заглавием, независимо от числа составляющих частей.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3.3.2. Общий объем фонда документов на микроформах учитывается по количеству рулонов и фиш, включая копии разных поколений (архивные/резервные и пользовательские).</w:t>
      </w: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ind w:firstLine="540"/>
        <w:jc w:val="both"/>
        <w:outlineLvl w:val="2"/>
      </w:pPr>
      <w:r w:rsidRPr="00EE6327">
        <w:t>3.4. Электронные документы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 электронным документам относятся документы на съемных носителях (компакт-диски, флеш-карты); документы, размещаемые на жестком диске компьютера (сервере) библиотеки и доступные пользователям через информационно-телекоммуникационные сети (далее - сетевые локальные документы); документы, размещаемые на автономных автоматизированных рабочих станциях библиотеки (далее - инсталлированные документы); документы, размещенные на внешних технических средствах, получаемые библиотекой во временное пользование через информационно-телекоммуникационные сети на условиях договора, контракта, лицензионного соглашения с производителями информации (далее - сетевые удаленные документы).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3.4.1. Единицами учета электронных документов на съемных носителях являются экземпляр и название.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lastRenderedPageBreak/>
        <w:t>3.4.1.1. Как отдельный экземпляр учитывается каждый автономный объект (компакт-диск).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Как отдельные экземпляры могут учитываться приложения к различным изданиям, выполняющие самостоятельные функции, а также используемые в работе отдельно от основного издания.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Как отдельные экземпляры не учитываются компакт-диски, если они представляют собой вкладку (вложение) в издание или его неотъемлемое приложение.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3.4.1.2. Как одно название учитываются: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отдельно выпущенный компакт-диск;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каждый компакт-диск, входящий в нумерованную или ненумерованную серию электронных изданий;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комплект компакт-дисков, объединенных общим названием;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изданные в качестве самостоятельных изданий приложения к изданиям любого другого вида, имеющие собственное заглавие и допускающие их использование без обращения к основному изданию.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3.4.1.3. В документах на флеш-картах как один экземпляр и одно название учитывается каждое целостное произведение, имеющее самостоятельное заглавие.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3.4.2. Единицами учета сетевых локальных и инсталлированных документов являются экземпляр (условная единица учета) и название.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Как одно название учитывается целостное произведение, имеющее самостоятельное заглавие, вне зависимости от его представления. Как одна единица учитывается пополняемый и обновляемый электронный документ.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Экземпляром является документ в определенном формате хранения или представления. Форматы одной и той же единицы контента учитываются отдельно.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3.4.3. Единицами учета сетевых удаленных документов являются экземпляр (условная единица учета) и название.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Как один экземпляр и одно название учитывается каждый полнотекстовый электронный документ, имеющий самостоятельное заглавие, включенный в пакет, к которому оформлено право доступа у его производителя. Как одна единица учитывается пополняемый и обновляемый электронный документ.</w:t>
      </w: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jc w:val="center"/>
        <w:outlineLvl w:val="1"/>
      </w:pPr>
      <w:r w:rsidRPr="00EE6327">
        <w:t>IV. Учет поступления документов в библиотечный фонд</w:t>
      </w: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ind w:firstLine="540"/>
        <w:jc w:val="both"/>
      </w:pPr>
      <w:r w:rsidRPr="00EE6327">
        <w:t>Документы поступают в библиотеку и включаются в библиотечный фонд в результате поставки обязательного экземпляра, покупки (подписки, обмена, дарения, пожертвования, копирования оригиналов из фонда библиотеки).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lastRenderedPageBreak/>
        <w:t>4.1. Документы принимаются по первичным учетным документам (накладная, акт), включающим список поступлений.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 xml:space="preserve">4.1.1. Прием документов, поступающих в библиотеку без первичных документов на безвозмездной основе (обязательные экземпляры, депозитные экземпляры международных организаций, </w:t>
      </w:r>
      <w:r w:rsidRPr="00EE6327">
        <w:rPr>
          <w:b/>
        </w:rPr>
        <w:t>безвозмездные поступления из неизвестных и анонимных источников</w:t>
      </w:r>
      <w:r w:rsidRPr="00EE6327">
        <w:t xml:space="preserve">), оформляется </w:t>
      </w:r>
      <w:r w:rsidRPr="00EE6327">
        <w:rPr>
          <w:b/>
          <w:u w:val="single"/>
        </w:rPr>
        <w:t>актом о приеме документов</w:t>
      </w:r>
      <w:r w:rsidRPr="00EE6327">
        <w:t>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 xml:space="preserve">4.1.2. Прием документов, поступающих в библиотеку от юридического, физического лица в виде дара с указанием его назначения для пополнения библиотечного фонда, оформляется </w:t>
      </w:r>
      <w:r w:rsidRPr="00EE6327">
        <w:rPr>
          <w:b/>
          <w:u w:val="single"/>
        </w:rPr>
        <w:t>договором пожертвования</w:t>
      </w:r>
      <w:r w:rsidRPr="00EE6327">
        <w:t xml:space="preserve"> в соответствии с Гражданским кодексом Российской Федерации (ст. 574, 582) &lt;1&gt;.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--------------------------------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&lt;1&gt; Гражданский кодекс Российской Федерации. Часть вторая от 26 янв. 1996 г. N 14-ФЗ // Собр. законодательства Рос. Федерации. - 1996 г. - N 5, ст. 410. - С. 1110 - 1296.</w:t>
      </w: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ind w:firstLine="540"/>
        <w:jc w:val="both"/>
      </w:pPr>
      <w:r w:rsidRPr="00EE6327">
        <w:t xml:space="preserve">4.1.3. Прием документов от читателей взамен утерянных </w:t>
      </w:r>
      <w:r w:rsidRPr="00EE6327">
        <w:rPr>
          <w:b/>
        </w:rPr>
        <w:t>и признанных равноценными</w:t>
      </w:r>
      <w:r w:rsidRPr="00EE6327">
        <w:t xml:space="preserve"> утраченным оформляется актом о приеме документов взамен утерянных. В акте указывается фамилия, инициалы читателя, сведения об утерянных изданиях (регистрационный номер, краткое библиографическое описание издания, цена), сведения о принятых изданиях (краткое библиографическое описание издания, цена), подписи читателя и принимающей стороны.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 xml:space="preserve">4.2. Оценка стоимости </w:t>
      </w:r>
      <w:r w:rsidRPr="00EE6327">
        <w:rPr>
          <w:b/>
          <w:u w:val="single"/>
        </w:rPr>
        <w:t>периодических изданий</w:t>
      </w:r>
      <w:r w:rsidRPr="00EE6327">
        <w:t>, поступающих в библиотеку на временное хранение, не производится.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4.3. Документы, поступающие в библиотеку, подлежат суммарному учету.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 xml:space="preserve">4.3.1. Сведения о включаемых в библиотечный фонд документах фиксируются в книге суммарного учета библиотечного фонда или в другом виде регистра согласно </w:t>
      </w:r>
      <w:hyperlink w:anchor="Par49" w:tooltip="1.5.2. Регистрами суммарного учета документов являются: книга суммарного учета библиотечного фонда, листы суммарного учета библиотечного фонда, журнал. Допускаются различные модификации книги суммарного учета. Независимо от вида учетного документа регистры суммарного учета содержат три взаимосвязанные части:" w:history="1">
        <w:r w:rsidRPr="00EE6327">
          <w:rPr>
            <w:color w:val="0000FF"/>
          </w:rPr>
          <w:t>п. 1.5.2</w:t>
        </w:r>
      </w:hyperlink>
      <w:r w:rsidRPr="00EE6327">
        <w:t>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Регистры суммарного учета должны иметь заголовочные данные: наименование регистра, наименование организации, подразделения. В регистр вписываются данные о поступившей партии документов: дата и порядковый номер записи (порядковый номер записи ежегодно начинается с N 1), источник поступления, номер и дата первичного учетного документа, количество поступивших документов и стоимость.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4.3.2. Суммарный учет поступления электронных сетевых локальных документов ведется в электронном реестре в соответствии с показателями п. 5.3.1, с указанием даты загрузки поступлений в систему.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4.3.3. Суммарный учет поступления электронных сетевых удаленных документов ведется в электронном реестре с отражением следующих показателей: даты и порядкового номера записи, реквизитов лицензионного договора (названия и номера документа, срока его действия, стоимости), количества баз данных (пакетов) и включенных в них названий.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 xml:space="preserve">При подсчете суммарного количества названий исключаются дублирующиеся названия в </w:t>
      </w:r>
      <w:r w:rsidRPr="00EE6327">
        <w:lastRenderedPageBreak/>
        <w:t>пакетах на одной платформе.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4.4. Документы, подготовленные к приему в библиотечный фонд, подвергаются первичной обработке и индивидуальному учету.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 xml:space="preserve">4.4.1. Индивидуальный учет документов осуществляется путем присвоения каждому экземпляру документа регистрационного номера, иного знака в качестве регистрационного номера (системного номера компьютерной программы, штрих-кода и других). Индивидуальный номер закрепляется за документом на все время его нахождения в фонде библиотеки. </w:t>
      </w:r>
      <w:r w:rsidRPr="00EE6327">
        <w:rPr>
          <w:u w:val="single"/>
        </w:rPr>
        <w:t>Регистрационные номера исключенных из фонда документов не присваиваются вновь принятым документам.</w:t>
      </w:r>
    </w:p>
    <w:p w:rsidR="00AE1A1F" w:rsidRPr="00EE6327" w:rsidRDefault="00AE1A1F">
      <w:pPr>
        <w:pStyle w:val="ConsPlusNormal"/>
        <w:spacing w:before="240"/>
        <w:ind w:firstLine="540"/>
        <w:jc w:val="both"/>
        <w:rPr>
          <w:b/>
          <w:u w:val="single"/>
        </w:rPr>
      </w:pPr>
      <w:r w:rsidRPr="00EE6327">
        <w:rPr>
          <w:b/>
          <w:u w:val="single"/>
        </w:rPr>
        <w:t>Регистрационные номера проставляются непосредственно на документах и отражаются в регистре индивидуального учета документов, принятом в библиотеке.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Регистры индивидуального учета должны иметь заголовочные данные: наименование регистра, наименование организации, структурного подразделения. В регистр вписываются данные о каждом документе: дата записи в регистре, регистрационный номер, краткое библиографическое описание документа (автор, заглавие, том, часть, выпуск, место и год издания), цена документа, указанная в сопроводительном документе.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4.4.2. Индивидуальный учет периодических изданий ведется в регистрационной картотеке периодических изданий, предназначенной для учета каждого названия и каждого экземпляра, или в автоматизированной базе данных.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Для периодических изданий в качестве регистрационных номеров могут использоваться любые идентификационные номера: системный номер в автоматизированной базе данных, регистрационный (порядковый) номер записи в регистрационной картотеке.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4.4.3. Индивидуальный учет документов, имеющих в своем оформлении драгоценные металлы и (или) драгоценные камни и отнесенных к категории сейфового хранения, осуществляется в специальном регистре, в котором, кроме традиционных показателей, дается описание внешнего оформления документа. Каждый лист регистра сопровождается итоговой записью с указанием даты ее составления и количества описаний на листе.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4.4.4. В регистрах индивидуального учета в примечаниях указывается наличие и вид приложения к основному документу, а также особенности экземпляра ценных и редких документов (например, наличие уникального переплета, маргиналий, дефектов и т.п.). При наличии паспорта документа дается отсылка к нему. В примечаниях может указываться принадлежность документа к категории книжных памятников.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4.4.5. Индивидуальный учет электронных сетевых локальных документов осуществляется путем ввода в базу данных метаинформации о загрузке документа в электронную библиотеку с автоматическим присвоением идентификационного (системного) номера каждому документу.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4.4.6. Индивидуальный учет электронных сетевых удаленных документов осуществляется в электронном виде путем регистрации баз данных (пакетов) без присвоения им регистрационного номера.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lastRenderedPageBreak/>
        <w:t>В реестр индивидуального учета сетевых удаленных документов включаются основные характеристики базы данных (пакета): описание базы данных (название, производитель, платформа и (или) адрес входа), срок окончания права доступа, количество названий, входящих в базу данных (пакет).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В количество названий включается общее количество полнотекстовых документов (книг, журналов, газет, патентов, стандартов и других документов, учитываемых в библиотеке). Не включаются в это количество документы, которые обычно не издаются отдельно в печатном формате, такие как профили компаний, статистические таблицы, аналитические материалы маркетинга. Для баз данных (пакетов), не содержащих полнотекстовых документов, в реквизите "название" проставляется единица.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4.5. Документы, включаемые в фонд библиотеки, маркируются. При этом могут быть использованы штемпели, книжные знаки, индивидуальные штриховые коды, другие виды маркировки. Основные требования, которые должны соблюдаться при маркировке документов: обозначение принадлежности, эстетика, долговечность маркировочного знака, сохранность текста или другой знаковой информации.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4.6. На документах, являющихся приложением к основному носителю и его неотъемлемой частью, проставляются те же реквизиты, что и на основном документе.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4.7. Электронные сетевые локальные документы и электронные сетевые удаленные документы идентифицируются специальными программными средствами.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 xml:space="preserve">4.8. На принятых первичных учетных документах производится запись, подтверждающая, что поступившие документы приняты в библиотечный фонд как в объект </w:t>
      </w:r>
      <w:r w:rsidRPr="00EE6327">
        <w:rPr>
          <w:b/>
          <w:u w:val="single"/>
        </w:rPr>
        <w:t>особо ценного движимого имущества</w:t>
      </w:r>
      <w:r w:rsidRPr="00EE6327">
        <w:t xml:space="preserve"> (далее - ОЦДИ) или как в </w:t>
      </w:r>
      <w:r w:rsidRPr="00EE6327">
        <w:rPr>
          <w:b/>
          <w:u w:val="single"/>
        </w:rPr>
        <w:t>объект иного движимого имущества</w:t>
      </w:r>
      <w:r w:rsidRPr="00EE6327">
        <w:t>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4.9. Первичные учетные документы, подтверждающие факт поступления, передаются в бухгалтерию для включения в учет библиотечного фонда.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4.10. Ежеквартально, при условии изменения состава ОЦДИ, сведения об общем количестве и стоимости документов, включенных в состав библиотечного фонда как объект особо ценного движимого имущества, передаются учредителю.</w:t>
      </w: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jc w:val="center"/>
        <w:outlineLvl w:val="1"/>
      </w:pPr>
      <w:r w:rsidRPr="00EE6327">
        <w:t>V. Учет выбытия документов из библиотечного фонда</w:t>
      </w: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ind w:firstLine="540"/>
        <w:jc w:val="both"/>
      </w:pPr>
      <w:r w:rsidRPr="00EE6327">
        <w:t>Документы выбывают из библиотечного фонда в связи с физической утратой или частичной либо полной утратой потребительских свойств. Выбывающие документы исключаются из библиотечного фонда и списываются с возможностью последующей безвозмездной передачи в другие библиотеки либо реализации.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bookmarkStart w:id="3" w:name="Par197"/>
      <w:bookmarkEnd w:id="3"/>
      <w:r w:rsidRPr="00EE6327">
        <w:t>5.1. Исключение документов из библиотечного фонда допускается по следующим причинам: утрата, ветхость, дефектность, устарелость по содержанию, непрофильность.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 xml:space="preserve">Непрофильность документов устанавливается на основе Профиля комплектования фонда или иного нормативного документа, утверждаемого руководителем библиотеки. По причине непрофильности могут исключаться из фонда документы, не комплектуемые библиотекой (при </w:t>
      </w:r>
      <w:r w:rsidRPr="00EE6327">
        <w:lastRenderedPageBreak/>
        <w:t>отказе от комплектования отдельных категорий документов), излишне дублетные экземпляры, замененные более полными по содержанию, лучшими по оформлению, физическому состоянию изданиями; по истечении срока хранения документов, при низком уровне читательского спроса, при несоответствии электронных документов техническому и программному обеспечению библиотеки.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5.1.1. Исключение документов по причинам устарелости по содержанию, непрофильности (малоспрашиваемые), а также по причинам ветхости и дефектности не допускается по отношению к единственным экземплярам документов постоянного (бессрочного) хранения.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5.1.2. Исключение документов, отнесенных к книжным памятникам, допускается только по причине утраты при условии отражения информации о книжном памятнике в Реестре книжных памятников.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5.2. Выбытие документов из библиотечного фонда оформляется Актом о списании исключенных объектов библиотечного фонда (далее - Акт о списании) по форме (код по ОКУД 0504144), утвержденной приказом Министерства финансов Российской Федерации 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(зарегистрирован в Министерстве юстиции Российской Федерации 2 июня 2015 г., регистрационный N 37519, официальный интернет-портал правовой информации http://www.pravo.gov.ru, 8 июня 2015 г. N 0001201506080020), с изменениями, внесенными приказом Министерства финансов Российской Федерации от 16 ноября 2016 г. N 209н (зарегистрирован в Министерстве юстиции Российской Федерации 15 декабря 2016 г., регистрационный N 44741, официальный интернет-портал правовой информации http://www.pravo.gov.ru, 19 декабря 2016 г., N 0001201612190019).</w:t>
      </w:r>
    </w:p>
    <w:p w:rsidR="00AE1A1F" w:rsidRPr="00EE6327" w:rsidRDefault="00AE1A1F">
      <w:pPr>
        <w:pStyle w:val="ConsPlusNormal"/>
        <w:jc w:val="both"/>
      </w:pPr>
      <w:r w:rsidRPr="00EE6327">
        <w:t>(п. 5.2 в ред. Приказа Минкультуры России от 02.02.2017 N 115)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5.3. К Акту о списании прилагается список на исключение объектов библиотечного фонда (далее - список), который включает следующие сведения: регистрационный номер и шифр хранения документа, краткое библиографическое описание, цену документа, зафиксированную в регистре индивидуального учета документов, коэффициент переоценки, цену после переоценки и общую стоимость исключаемых документов.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Для печатных документов временного хранения допускается замена списка книжными формулярами.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Для документов, обработанных групповым (упрощенным) способом, вместо списка дается перечень регистрационных номеров, вид исключаемых изданий, их количество.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5.4. К Акту о списании по причине утраты и списку прилагаются документы, подтверждающие утрату (пояснительная записка, в случае кражи или хищения - протокол, акт, заключение уполномоченных органов, при возмещении ущерба - финансовый документ о возмещении ущерба).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 xml:space="preserve">Возмещение читателями ущерба допускается в форме замены утерянного документа </w:t>
      </w:r>
      <w:r w:rsidRPr="00EE6327">
        <w:lastRenderedPageBreak/>
        <w:t>равноценным либо путем денежной компенсации. При приеме денег от читателей взамен утерянных книг или других документов составляется приходный ордер, и читателю выдается квитанция установленного образца.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5.5. При возмещении читателем ущерба стоимость утраченных документов устанавливается экспертной комиссией по оценке документов, назначенной приказом руководителя библиотеки.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При утере или хищении ценных и редких книг для определения их стоимости комиссия может привлекать к своей работе соответствующих экспертов, а также использовать материалы научно-методических центров, книжных аукционов и ярмарок. В этих случаях определение причиненного ущерба предельными коэффициентами кратности не ограничивается.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 xml:space="preserve">5.6. Акт о списании по одной из причин, указанных в </w:t>
      </w:r>
      <w:hyperlink w:anchor="Par197" w:tooltip="5.1. Исключение документов из библиотечного фонда допускается по следующим причинам: утрата, ветхость, дефектность, устарелость по содержанию, непрофильность." w:history="1">
        <w:r w:rsidRPr="00EE6327">
          <w:rPr>
            <w:color w:val="0000FF"/>
          </w:rPr>
          <w:t>п. 5.1</w:t>
        </w:r>
      </w:hyperlink>
      <w:r w:rsidRPr="00EE6327">
        <w:t>, с приложенным списком подписывается председателем и членами комиссии по списанию объектов библиотечного фонда, утверждается руководителем учреждения.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5.7. После утверждения Акта о списании осуществляются мероприятия по перераспределению и реализации списанных объектов библиотечного фонда.</w:t>
      </w:r>
    </w:p>
    <w:p w:rsidR="00AE1A1F" w:rsidRPr="00EE6327" w:rsidRDefault="00AE1A1F">
      <w:pPr>
        <w:pStyle w:val="ConsPlusNormal"/>
        <w:spacing w:before="240"/>
        <w:ind w:firstLine="540"/>
        <w:jc w:val="both"/>
        <w:rPr>
          <w:b/>
          <w:i/>
          <w:u w:val="single"/>
        </w:rPr>
      </w:pPr>
      <w:bookmarkStart w:id="4" w:name="Par212"/>
      <w:bookmarkEnd w:id="4"/>
      <w:r w:rsidRPr="00EE6327">
        <w:t xml:space="preserve">5.7.1. Списанные объекты, исключенные из библиотечного фонда по причинам ветхости, дефектности, устарелости по содержанию, могут передаваться на </w:t>
      </w:r>
      <w:r w:rsidRPr="00EE6327">
        <w:rPr>
          <w:b/>
          <w:u w:val="single"/>
        </w:rPr>
        <w:t>безвозмездной осн</w:t>
      </w:r>
      <w:r w:rsidRPr="00EE6327">
        <w:rPr>
          <w:u w:val="single"/>
        </w:rPr>
        <w:t>ове</w:t>
      </w:r>
      <w:r w:rsidRPr="00EE6327">
        <w:t xml:space="preserve"> юридическим и физическим лицам. </w:t>
      </w:r>
      <w:r w:rsidRPr="00EE6327">
        <w:rPr>
          <w:b/>
          <w:i/>
          <w:u w:val="single"/>
        </w:rPr>
        <w:t>Невостребованные в течение шести месяцев с даты списания документы могут направляться в пункты вторичного сырья.</w:t>
      </w:r>
    </w:p>
    <w:p w:rsidR="00AE1A1F" w:rsidRPr="00EE6327" w:rsidRDefault="00AE1A1F">
      <w:pPr>
        <w:pStyle w:val="ConsPlusNormal"/>
        <w:jc w:val="both"/>
      </w:pPr>
      <w:r w:rsidRPr="00EE6327">
        <w:t>(пп. 5.7.1 в ред. Приказа Минкультуры России от 02.02.2017 N 115)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bookmarkStart w:id="5" w:name="Par214"/>
      <w:bookmarkEnd w:id="5"/>
      <w:r w:rsidRPr="00EE6327">
        <w:t xml:space="preserve">5.7.2. Списанные объекты, исключенные из библиотечного фонда по причине непрофильности, передаются по решению библиотеки в обменный фонд в целях дальнейшей </w:t>
      </w:r>
      <w:r w:rsidRPr="00EE6327">
        <w:rPr>
          <w:b/>
        </w:rPr>
        <w:t>передачи на безвозмездной основе</w:t>
      </w:r>
      <w:r w:rsidRPr="00EE6327">
        <w:t xml:space="preserve"> некоммерческим, а также государственным коммерческим организациям или для реализации юридическим и физическим лицам. </w:t>
      </w:r>
      <w:r w:rsidRPr="00EE6327">
        <w:rPr>
          <w:u w:val="single"/>
        </w:rPr>
        <w:t>Невостребованные или нереализованные в течение шести месяцев с даты списания документы могут передаваться на безвозмездной основе юридическим и физическим лицам либо направляться в пункты вторичного</w:t>
      </w:r>
      <w:r w:rsidRPr="00EE6327">
        <w:t xml:space="preserve"> сырья.</w:t>
      </w:r>
    </w:p>
    <w:p w:rsidR="00AE1A1F" w:rsidRPr="00EE6327" w:rsidRDefault="00AE1A1F">
      <w:pPr>
        <w:pStyle w:val="ConsPlusNormal"/>
        <w:jc w:val="both"/>
      </w:pPr>
      <w:r w:rsidRPr="00EE6327">
        <w:t>(пп. 5.7.2 в ред. Приказа Минкультуры России от 02.02.2017 N 115)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5.7.3. При отсутствии пунктов вторичного сырья или в случаях, когда сдача документов на переработку экономически нецелесообразна, сотрудники библиотеки уничтожают исключенные из библиотечного фонда документы в специально отведенном для этих целей месте в присутствии уполномоченных учредителем лиц, которые составляют акт об уничтожении списанных объектов библиотечного фонда.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 xml:space="preserve">В Акте о списании отражаются наименование, номер и дата документа, подтверждающего решение библиотеки о передаче списанных объектов библиотечного фонда в обменный фонд, документа, подтверждающего решение библиотеки о реализации списанных объектов библиотечного фонда юридическим и физическим лицам, документа, подтверждающего решение библиотеки о передаче на безвозмездной основе списанных объектов библиотечного фонда юридическим и физическим лицам, документа, подтверждающего факт сдачи списанных объектов библиотечного фонда в пункт вторичного сырья, или акта об уничтожении списанных объектов библиотечного фонда. Вышеуказанные документы прилагаются к Акту о списании со списком </w:t>
      </w:r>
      <w:r w:rsidRPr="00EE6327">
        <w:lastRenderedPageBreak/>
        <w:t>объектов, исключенных из библиотечного фонда.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Исключенные из библиотечных фондов микроформы на галогенидосеребряной пленке подлежат сдаче как серебросодержащие отходы в соответствии с законодательством Российской Федерации.</w:t>
      </w:r>
    </w:p>
    <w:p w:rsidR="00AE1A1F" w:rsidRPr="00EE6327" w:rsidRDefault="00AE1A1F">
      <w:pPr>
        <w:pStyle w:val="ConsPlusNormal"/>
        <w:jc w:val="both"/>
      </w:pPr>
      <w:r w:rsidRPr="00EE6327">
        <w:t>(п. 5.7.3 введен Приказом Минкультуры России от 02.02.2017 N 115)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5.8. После завершения мероприятий, предусмотренных Актом о списании исключенных объектов библиотечного фонда, первый экземпляр Акта о списании со списком и документом, подтверждающим выбытие, передается в бухгалтерию, второй экземпляр остается в подразделении, осуществляющем учет библиотечного фонда.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На основании Акта о списании исключенных объектов библиотечного фонда библиотечное подразделение и бухгалтерия вносят изменения в соответствующие учетные документы.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5.9. Акты о списании регистрируются в книге суммарного учета библиотечного фонда (или другом виде регистра суммарного учета выбытия документов, принятом в библиотеке).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5.10. В регистрационной книге (или другом виде регистра индивидуального учета документов, принятом в библиотеке) проставляется номер и дата Акта о списании.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5.11. Все исключаемые из фонда библиотеки документы (книги, журналы, другие виды документов) должны быть соответствующим образом оформлены: специальным штемпелем должны быть погашены штампы библиотеки.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5.12. Электронные сетевые локальные документы удаляются из электронной библиотеки на основании Акта о списании с указанием причины исключения. Наименование, номер и дата акта вводятся в базу данных в качестве метаинформации к соответствующему документу.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На основании введенных сведений программным способом формируется перечень Актов о списании (реестр суммарного учета выбытия сетевых локальных документов) и перечень списанных объектов электронной библиотеки (реестр индивидуального учета выбытия сетевых локальных документов).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5.13. Выбытие электронных сетевых удаленных документов не оформляется специальным документом. Подтверждением выбытия является истечение срока действия документа (договора, контракта, лицензионного соглашения), оформленного на право доступа к определенной базе данных (пакету) сетевых документов, и отсутствие договора, контракта, лицензионного соглашения, оформленного на новый срок.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5.14. Ежеквартально, при условии изменения состава ОЦДИ, общие сведения о количестве и стоимости документов, списанных из библиотечного фонда как объекта особо ценного движимого имущества, с указанием перечня Актов о списании, причин и направлений выбытия документов, представляются учредителю. Количество выбывающих документов не должно превышать количества вновь поступающих документов в библиотечный фонд.</w:t>
      </w: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jc w:val="center"/>
        <w:outlineLvl w:val="1"/>
      </w:pPr>
      <w:r w:rsidRPr="00EE6327">
        <w:t>VI. Учет итогов движения библиотечного фонда</w:t>
      </w: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ind w:firstLine="540"/>
        <w:jc w:val="both"/>
      </w:pPr>
      <w:r w:rsidRPr="00EE6327">
        <w:lastRenderedPageBreak/>
        <w:t>6.1. Итоги движения фондов подводятся в книге суммарного учета библиотечного фонда (или другом регистре суммарного учета, принятом в библиотеке) на основании данных суммарного учета о поступлении и выбытии документов.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Итоговые данные имеют четыре обязательных показателя: состояло на начало года, поступило за год, выбыло за год, состоит на конец года.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Итоговые данные по электронным сетевым удаленным документам представляются следующими показателями учетных единиц: состояло на начало года, оформлено в доступ в течение года, доступ прекращен в течение года, состоит на конец года.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6.2. Сведения об итоговых данных фиксируются в форме государственной статистической отчетности и представляются для целей государственной статистической отчетности.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Итоговые данные об обменном фонде не включаются в общие показатели библиотечного фонда.</w:t>
      </w: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jc w:val="center"/>
        <w:outlineLvl w:val="1"/>
      </w:pPr>
      <w:r w:rsidRPr="00EE6327">
        <w:t>VII. Проверка наличия документов библиотечного фонда</w:t>
      </w: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ind w:firstLine="540"/>
        <w:jc w:val="both"/>
      </w:pPr>
      <w:r w:rsidRPr="00EE6327">
        <w:t>7.1. Проверка наличия документов библиотечного фонда (далее - проверка фонда) производится в обязательном порядке: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при выявлении фактов хищения, злоупотребления или порчи документов;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в случае стихийного бедствия, пожара или других чрезвычайных ситуаций, вызванных экстремальными условиями;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при реорганизации или ликвидации библиотеки.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Для проведения проверок руководителем организации назначается комиссия, в состав комиссии должен входить представитель бухгалтерии.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7.2. Проверка фонда в плановом порядке осуществляется в следующие сроки: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документы, имеющие в оформлении драгоценные металлы и (или) драгоценные камни, - ежегодно;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фонд редких и ценных книг - один раз в 5 лет;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фонды библиотек до 50 тысяч учетных единиц - один раз в 5 лет;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фонды библиотек от 50 до 200 тысяч учетных единиц - один раз в 7 лет;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фонды библиотек от 200 тысяч до 1 миллиона учетных единиц - один раз в 10 лет;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фонды библиотек от 1 до 10 миллионов учетных единиц - один раз в 15 лет;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фонды библиотек от 10 до 20 миллионов учетных единиц - один раз в 20 лет;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lastRenderedPageBreak/>
        <w:t>фонды библиотек свыше 20 миллионов учетных единиц - 1 миллион экземпляров в год.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Плановая проверка фонда библиотеки может осуществляться поэтапно в соответствии с графиком проведения проверки всего фонда или его части (в том числе редких и ценных книг) с определением сроков и количества планируемого объема работы.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7.3. Проверка электронных сетевых локальных документов осуществляется по количественным показателям, а также по контрольным суммам, позволяющим выявить изменения в документе.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Проверка доступности электронных сетевых удаленных документов осуществляется с адресов входа, указанных в регистре индивидуального учета.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7.4. Проверка всего фонда или его части завершается составлением акта о результатах проведения проверки наличия документов библиотечного фонда и приложением к нему списка документов, отсутствующих по неустановленной причине.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В акте фиксируются сведения о количестве документов библиотечного фонда по данным учета; документов, имеющихся в наличии; документов, отсутствующих в библиотечном фонде по неустановленной причине. В акте также указываются номер и дата акта о проведении предыдущей проверки. Акт с приложением списка документов, отсутствующих по неустановленной причине, подписывается председателем и членами комиссии и утверждается руководителем учреждения.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7.5.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jc w:val="center"/>
        <w:outlineLvl w:val="1"/>
      </w:pPr>
      <w:r w:rsidRPr="00EE6327">
        <w:t>VIII. Делопроизводство в организации учета</w:t>
      </w:r>
    </w:p>
    <w:p w:rsidR="00AE1A1F" w:rsidRPr="00EE6327" w:rsidRDefault="00AE1A1F">
      <w:pPr>
        <w:pStyle w:val="ConsPlusNormal"/>
        <w:jc w:val="center"/>
      </w:pPr>
      <w:r w:rsidRPr="00EE6327">
        <w:t>библиотечного фонда</w:t>
      </w:r>
    </w:p>
    <w:p w:rsidR="00AE1A1F" w:rsidRPr="00EE6327" w:rsidRDefault="00AE1A1F">
      <w:pPr>
        <w:pStyle w:val="ConsPlusNormal"/>
        <w:ind w:firstLine="540"/>
        <w:jc w:val="both"/>
      </w:pPr>
    </w:p>
    <w:p w:rsidR="00AE1A1F" w:rsidRPr="00EE6327" w:rsidRDefault="00AE1A1F">
      <w:pPr>
        <w:pStyle w:val="ConsPlusNormal"/>
        <w:ind w:firstLine="540"/>
        <w:jc w:val="both"/>
      </w:pPr>
      <w:r w:rsidRPr="00EE6327">
        <w:t>8.1. Организация работы с документами по учету библиотечного фонда осуществляется по правилам ведения делопроизводства.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8.2. Сроки хранения документов устанавливаются в соответствии с Приказом Министерства культуры Российской Федерации от 25.08.2010 N 558 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хранения", зарегистрированным Минюстом Российской Федерации 08.09.2010, N 18380.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8.2.1. Постоянно, до ликвидации библиотеки, хранятся регистры индивидуального и суммарного учета документов библиотечного фонда (регистрационные книги, инвентарные книги, книги суммарного учета, учетный каталог, топографические описи и каталоги).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8.2.2. В течение десяти лет хранятся Акты о списании исключенных объектов библиотечного фонда и акты о приеме-передаче списанных объектов библиотечного фонда.</w:t>
      </w:r>
    </w:p>
    <w:p w:rsidR="00AE1A1F" w:rsidRPr="00EE6327" w:rsidRDefault="00AE1A1F">
      <w:pPr>
        <w:pStyle w:val="ConsPlusNormal"/>
        <w:spacing w:before="240"/>
        <w:ind w:firstLine="540"/>
        <w:jc w:val="both"/>
      </w:pPr>
      <w:r w:rsidRPr="00EE6327">
        <w:t>8.2.3. В течение пяти лет хранятся первичные учетные документы, подтверждающие поступление документов в библиотечный фонд (накладные, акты о приеме, акты сдачи-приемки).</w:t>
      </w:r>
    </w:p>
    <w:p w:rsidR="00AE1A1F" w:rsidRDefault="00AE1A1F">
      <w:pPr>
        <w:pStyle w:val="ConsPlusNormal"/>
        <w:spacing w:before="240"/>
        <w:ind w:firstLine="540"/>
        <w:jc w:val="both"/>
      </w:pPr>
      <w:r w:rsidRPr="00EE6327">
        <w:lastRenderedPageBreak/>
        <w:t>8.2.4. До окончания очередной проверки фонда хранятся акты о результатах проведения проверки наличия документов библиотечного фонда.</w:t>
      </w:r>
    </w:p>
    <w:p w:rsidR="00AE1A1F" w:rsidRDefault="00AE1A1F">
      <w:pPr>
        <w:pStyle w:val="ConsPlusNormal"/>
        <w:ind w:firstLine="540"/>
        <w:jc w:val="both"/>
      </w:pPr>
    </w:p>
    <w:p w:rsidR="00AE1A1F" w:rsidRDefault="00AE1A1F">
      <w:pPr>
        <w:pStyle w:val="ConsPlusNormal"/>
        <w:ind w:firstLine="540"/>
        <w:jc w:val="both"/>
      </w:pPr>
    </w:p>
    <w:p w:rsidR="00AE1A1F" w:rsidRDefault="00AE1A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E1A1F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C1" w:rsidRDefault="002F41C1">
      <w:pPr>
        <w:spacing w:after="0" w:line="240" w:lineRule="auto"/>
      </w:pPr>
      <w:r>
        <w:separator/>
      </w:r>
    </w:p>
  </w:endnote>
  <w:endnote w:type="continuationSeparator" w:id="0">
    <w:p w:rsidR="002F41C1" w:rsidRDefault="002F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A1F" w:rsidRDefault="00AE1A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AE1A1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1A1F" w:rsidRDefault="00AE1A1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1A1F" w:rsidRDefault="00AE1A1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1A1F" w:rsidRDefault="00AE1A1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32383C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32383C">
            <w:rPr>
              <w:noProof/>
              <w:sz w:val="20"/>
              <w:szCs w:val="20"/>
            </w:rPr>
            <w:t>19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AE1A1F" w:rsidRDefault="00AE1A1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A1F" w:rsidRDefault="00AE1A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AE1A1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1A1F" w:rsidRDefault="00AE1A1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1A1F" w:rsidRDefault="00AE1A1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1A1F" w:rsidRDefault="00AE1A1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32383C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32383C">
            <w:rPr>
              <w:noProof/>
              <w:sz w:val="20"/>
              <w:szCs w:val="20"/>
            </w:rPr>
            <w:t>19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AE1A1F" w:rsidRDefault="00AE1A1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C1" w:rsidRDefault="002F41C1">
      <w:pPr>
        <w:spacing w:after="0" w:line="240" w:lineRule="auto"/>
      </w:pPr>
      <w:r>
        <w:separator/>
      </w:r>
    </w:p>
  </w:footnote>
  <w:footnote w:type="continuationSeparator" w:id="0">
    <w:p w:rsidR="002F41C1" w:rsidRDefault="002F4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AE1A1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1A1F" w:rsidRDefault="00AE1A1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Минкультуры России от 08.10.2012 N 1077</w:t>
          </w:r>
          <w:r>
            <w:rPr>
              <w:sz w:val="16"/>
              <w:szCs w:val="16"/>
            </w:rPr>
            <w:br/>
            <w:t>(ред. от 02.02.2017)</w:t>
          </w:r>
          <w:r>
            <w:rPr>
              <w:sz w:val="16"/>
              <w:szCs w:val="16"/>
            </w:rPr>
            <w:br/>
            <w:t>"Об утверждении Порядка учета документов, входящих 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1A1F" w:rsidRDefault="00AE1A1F">
          <w:pPr>
            <w:pStyle w:val="ConsPlusNormal"/>
            <w:jc w:val="center"/>
          </w:pPr>
        </w:p>
        <w:p w:rsidR="00AE1A1F" w:rsidRDefault="00AE1A1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1A1F" w:rsidRDefault="00AE1A1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27.10.2020</w:t>
          </w:r>
        </w:p>
      </w:tc>
    </w:tr>
  </w:tbl>
  <w:p w:rsidR="00AE1A1F" w:rsidRDefault="00AE1A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E1A1F" w:rsidRDefault="00AE1A1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AE1A1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1A1F" w:rsidRDefault="00AE1A1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Минкультуры России от 08.10.2012 N 1077</w:t>
          </w:r>
          <w:r>
            <w:rPr>
              <w:sz w:val="16"/>
              <w:szCs w:val="16"/>
            </w:rPr>
            <w:br/>
            <w:t>(ред. от 02.02.2017)</w:t>
          </w:r>
          <w:r>
            <w:rPr>
              <w:sz w:val="16"/>
              <w:szCs w:val="16"/>
            </w:rPr>
            <w:br/>
            <w:t>"Об утверждении Порядка учета документов, входящих 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1A1F" w:rsidRDefault="00AE1A1F">
          <w:pPr>
            <w:pStyle w:val="ConsPlusNormal"/>
            <w:jc w:val="center"/>
          </w:pPr>
        </w:p>
        <w:p w:rsidR="00AE1A1F" w:rsidRDefault="00AE1A1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1A1F" w:rsidRDefault="00AE1A1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27.10.2020</w:t>
          </w:r>
        </w:p>
      </w:tc>
    </w:tr>
  </w:tbl>
  <w:p w:rsidR="00AE1A1F" w:rsidRDefault="00AE1A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E1A1F" w:rsidRDefault="00AE1A1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25"/>
    <w:rsid w:val="000A485E"/>
    <w:rsid w:val="00157017"/>
    <w:rsid w:val="001A14E2"/>
    <w:rsid w:val="00225F9B"/>
    <w:rsid w:val="00265373"/>
    <w:rsid w:val="00294B30"/>
    <w:rsid w:val="002A0C6E"/>
    <w:rsid w:val="002F41C1"/>
    <w:rsid w:val="0030595E"/>
    <w:rsid w:val="0032383C"/>
    <w:rsid w:val="00384D5E"/>
    <w:rsid w:val="003B0E88"/>
    <w:rsid w:val="003D67D6"/>
    <w:rsid w:val="004425B1"/>
    <w:rsid w:val="004B64AE"/>
    <w:rsid w:val="004D1C73"/>
    <w:rsid w:val="004F769F"/>
    <w:rsid w:val="00550739"/>
    <w:rsid w:val="005620CE"/>
    <w:rsid w:val="00565B25"/>
    <w:rsid w:val="005D65A6"/>
    <w:rsid w:val="005E74BF"/>
    <w:rsid w:val="006000A6"/>
    <w:rsid w:val="006B05D4"/>
    <w:rsid w:val="006D1090"/>
    <w:rsid w:val="00715C81"/>
    <w:rsid w:val="007868A1"/>
    <w:rsid w:val="008E1288"/>
    <w:rsid w:val="009915AA"/>
    <w:rsid w:val="009F17AE"/>
    <w:rsid w:val="00A33B1A"/>
    <w:rsid w:val="00A4593B"/>
    <w:rsid w:val="00A5498A"/>
    <w:rsid w:val="00AC35F1"/>
    <w:rsid w:val="00AC4066"/>
    <w:rsid w:val="00AE1A1F"/>
    <w:rsid w:val="00B57269"/>
    <w:rsid w:val="00B7725B"/>
    <w:rsid w:val="00BC1A0D"/>
    <w:rsid w:val="00BF2C7B"/>
    <w:rsid w:val="00CE50D1"/>
    <w:rsid w:val="00D02ADD"/>
    <w:rsid w:val="00E44840"/>
    <w:rsid w:val="00E93A4E"/>
    <w:rsid w:val="00EE6327"/>
    <w:rsid w:val="00F84F9F"/>
    <w:rsid w:val="00FC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48D4C5-03FF-4644-A763-30C6A37E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5842</Words>
  <Characters>33306</Characters>
  <Application>Microsoft Office Word</Application>
  <DocSecurity>2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Минкультуры России от 08.10.2012 N 1077(ред. от 02.02.2017)"Об утверждении Порядка учета документов, входящих в состав библиотечного фонда"(Зарегистрировано в Минюсте России 14.05.2013 N 28390)</vt:lpstr>
    </vt:vector>
  </TitlesOfParts>
  <Company>КонсультантПлюс Версия 4018.00.50</Company>
  <LinksUpToDate>false</LinksUpToDate>
  <CharactersWithSpaces>39070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Минкультуры России от 08.10.2012 N 1077(ред. от 02.02.2017)"Об утверждении Порядка учета документов, входящих в состав библиотечного фонда"(Зарегистрировано в Минюсте России 14.05.2013 N 28390)</dc:title>
  <dc:subject/>
  <dc:creator>margo</dc:creator>
  <cp:keywords/>
  <dc:description/>
  <cp:lastModifiedBy>Irina</cp:lastModifiedBy>
  <cp:revision>2</cp:revision>
  <dcterms:created xsi:type="dcterms:W3CDTF">2022-11-30T12:57:00Z</dcterms:created>
  <dcterms:modified xsi:type="dcterms:W3CDTF">2022-11-30T12:57:00Z</dcterms:modified>
</cp:coreProperties>
</file>